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06411E">
        <w:rPr>
          <w:rFonts w:cs="Arial"/>
          <w:b/>
          <w:color w:val="auto"/>
          <w:lang w:val="de-DE"/>
        </w:rPr>
        <w:t>Flexibles verbindungsstück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06411E">
        <w:rPr>
          <w:rFonts w:cs="Arial"/>
          <w:b/>
          <w:color w:val="auto"/>
          <w:lang w:val="de-DE"/>
        </w:rPr>
        <w:t>139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Das Easyflex</w:t>
      </w:r>
      <w:r w:rsidRPr="0006411E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06411E">
        <w:rPr>
          <w:rFonts w:ascii="Arial" w:hAnsi="Arial" w:cs="Arial"/>
          <w:b w:val="0"/>
          <w:caps w:val="0"/>
          <w:lang w:val="de-DE"/>
        </w:rPr>
        <w:t xml:space="preserve">-Verbindungsstück kann verwendet </w:t>
      </w:r>
      <w:r w:rsidR="0058335F">
        <w:rPr>
          <w:rFonts w:ascii="Arial" w:hAnsi="Arial" w:cs="Arial"/>
          <w:b w:val="0"/>
          <w:caps w:val="0"/>
          <w:lang w:val="de-DE"/>
        </w:rPr>
        <w:t xml:space="preserve">werden, </w:t>
      </w:r>
      <w:r w:rsidR="0058335F" w:rsidRPr="0058335F">
        <w:rPr>
          <w:rFonts w:ascii="Arial" w:hAnsi="Arial" w:cs="Arial"/>
          <w:caps w:val="0"/>
          <w:lang w:val="de-DE"/>
        </w:rPr>
        <w:t xml:space="preserve">um feste, flache Kanäle </w:t>
      </w:r>
      <w:r w:rsidRPr="0058335F">
        <w:rPr>
          <w:rFonts w:ascii="Arial" w:hAnsi="Arial" w:cs="Arial"/>
          <w:caps w:val="0"/>
          <w:lang w:val="de-DE"/>
        </w:rPr>
        <w:t>(G0013126) und flexible Kanäle (G0013110) zu verbinden</w:t>
      </w:r>
      <w:r>
        <w:rPr>
          <w:rFonts w:ascii="Arial" w:hAnsi="Arial" w:cs="Arial"/>
          <w:b w:val="0"/>
          <w:caps w:val="0"/>
          <w:lang w:val="de-DE"/>
        </w:rPr>
        <w:t xml:space="preserve">. </w:t>
      </w:r>
      <w:r w:rsidRPr="0006411E">
        <w:rPr>
          <w:rFonts w:ascii="Arial" w:hAnsi="Arial" w:cs="Arial"/>
          <w:b w:val="0"/>
          <w:caps w:val="0"/>
          <w:lang w:val="de-DE"/>
        </w:rPr>
        <w:t>Das Verbindungsst</w:t>
      </w:r>
      <w:r w:rsidR="0058335F">
        <w:rPr>
          <w:rFonts w:ascii="Arial" w:hAnsi="Arial" w:cs="Arial"/>
          <w:b w:val="0"/>
          <w:caps w:val="0"/>
          <w:lang w:val="de-DE"/>
        </w:rPr>
        <w:t xml:space="preserve">ück besteht aus einem flexiblen </w:t>
      </w:r>
      <w:r w:rsidRPr="0006411E">
        <w:rPr>
          <w:rFonts w:ascii="Arial" w:hAnsi="Arial" w:cs="Arial"/>
          <w:b w:val="0"/>
          <w:caps w:val="0"/>
          <w:lang w:val="de-DE"/>
        </w:rPr>
        <w:t>Luftk</w:t>
      </w:r>
      <w:r>
        <w:rPr>
          <w:rFonts w:ascii="Arial" w:hAnsi="Arial" w:cs="Arial"/>
          <w:b w:val="0"/>
          <w:caps w:val="0"/>
          <w:lang w:val="de-DE"/>
        </w:rPr>
        <w:t xml:space="preserve">anal mit einer Länge von 350 mm </w:t>
      </w:r>
      <w:r w:rsidRPr="0006411E">
        <w:rPr>
          <w:rFonts w:ascii="Arial" w:hAnsi="Arial" w:cs="Arial"/>
          <w:b w:val="0"/>
          <w:caps w:val="0"/>
          <w:lang w:val="de-DE"/>
        </w:rPr>
        <w:t xml:space="preserve">und mit Gummi versehenen Anschlussmuffen entlang beider </w:t>
      </w:r>
      <w:r>
        <w:rPr>
          <w:rFonts w:ascii="Arial" w:hAnsi="Arial" w:cs="Arial"/>
          <w:b w:val="0"/>
          <w:caps w:val="0"/>
          <w:lang w:val="de-DE"/>
        </w:rPr>
        <w:t xml:space="preserve">Seiten. Es kann für horizontale </w:t>
      </w:r>
      <w:r w:rsidRPr="0006411E">
        <w:rPr>
          <w:rFonts w:ascii="Arial" w:hAnsi="Arial" w:cs="Arial"/>
          <w:b w:val="0"/>
          <w:caps w:val="0"/>
          <w:lang w:val="de-DE"/>
        </w:rPr>
        <w:t>und vertikale Bögen von maximal 90° verwend</w:t>
      </w:r>
      <w:r>
        <w:rPr>
          <w:rFonts w:ascii="Arial" w:hAnsi="Arial" w:cs="Arial"/>
          <w:b w:val="0"/>
          <w:caps w:val="0"/>
          <w:lang w:val="de-DE"/>
        </w:rPr>
        <w:t xml:space="preserve">et werden, aber auch für andere </w:t>
      </w:r>
      <w:r w:rsidRPr="0006411E">
        <w:rPr>
          <w:rFonts w:ascii="Arial" w:hAnsi="Arial" w:cs="Arial"/>
          <w:b w:val="0"/>
          <w:caps w:val="0"/>
          <w:lang w:val="de-DE"/>
        </w:rPr>
        <w:t>schwierig</w:t>
      </w:r>
      <w:r>
        <w:rPr>
          <w:rFonts w:ascii="Arial" w:hAnsi="Arial" w:cs="Arial"/>
          <w:b w:val="0"/>
          <w:caps w:val="0"/>
          <w:lang w:val="de-DE"/>
        </w:rPr>
        <w:t xml:space="preserve">e Hindernisse (z. B.: S-Bogen). </w:t>
      </w:r>
      <w:r w:rsidRPr="0006411E">
        <w:rPr>
          <w:rFonts w:ascii="Arial" w:hAnsi="Arial" w:cs="Arial"/>
          <w:b w:val="0"/>
          <w:caps w:val="0"/>
          <w:lang w:val="de-DE"/>
        </w:rPr>
        <w:t>Das flexible Verbindungsstück hat einen Außendurchm</w:t>
      </w:r>
      <w:r>
        <w:rPr>
          <w:rFonts w:ascii="Arial" w:hAnsi="Arial" w:cs="Arial"/>
          <w:b w:val="0"/>
          <w:caps w:val="0"/>
          <w:lang w:val="de-DE"/>
        </w:rPr>
        <w:t xml:space="preserve">esser von 140 x 64 mm und einen </w:t>
      </w:r>
      <w:r w:rsidRPr="0006411E">
        <w:rPr>
          <w:rFonts w:ascii="Arial" w:hAnsi="Arial" w:cs="Arial"/>
          <w:b w:val="0"/>
          <w:caps w:val="0"/>
          <w:lang w:val="de-DE"/>
        </w:rPr>
        <w:t>äquivalenten Innendurchmesser von 90 mm.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Dank des großen Querschnitts des Luftkanals kö</w:t>
      </w:r>
      <w:r>
        <w:rPr>
          <w:rFonts w:ascii="Arial" w:hAnsi="Arial" w:cs="Arial"/>
          <w:b w:val="0"/>
          <w:caps w:val="0"/>
          <w:lang w:val="de-DE"/>
        </w:rPr>
        <w:t xml:space="preserve">nnen hohe Luftvolumenströme bei </w:t>
      </w:r>
      <w:r w:rsidRPr="0006411E">
        <w:rPr>
          <w:rFonts w:ascii="Arial" w:hAnsi="Arial" w:cs="Arial"/>
          <w:b w:val="0"/>
          <w:caps w:val="0"/>
          <w:lang w:val="de-DE"/>
        </w:rPr>
        <w:t>niedrigen Luftgeschwindigkeiten befördert werden, was einen leisen Betrieb des Lüftungssystems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zur Folge hat.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 xml:space="preserve">Dank seiner </w:t>
      </w:r>
      <w:r w:rsidRPr="0006411E">
        <w:rPr>
          <w:rFonts w:ascii="Arial" w:hAnsi="Arial" w:cs="Arial"/>
          <w:caps w:val="0"/>
          <w:lang w:val="de-DE"/>
        </w:rPr>
        <w:t>geringen Höhe</w:t>
      </w:r>
      <w:r w:rsidRPr="0006411E">
        <w:rPr>
          <w:rFonts w:ascii="Arial" w:hAnsi="Arial" w:cs="Arial"/>
          <w:b w:val="0"/>
          <w:caps w:val="0"/>
          <w:lang w:val="de-DE"/>
        </w:rPr>
        <w:t xml:space="preserve"> kann das Easyflex</w:t>
      </w:r>
      <w:r w:rsidRPr="0006411E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06411E">
        <w:rPr>
          <w:rFonts w:ascii="Arial" w:hAnsi="Arial" w:cs="Arial"/>
          <w:b w:val="0"/>
          <w:caps w:val="0"/>
          <w:lang w:val="de-DE"/>
        </w:rPr>
        <w:t>-Verbindungsstück leicht in Zwischenwände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und -decke eingebaut werden. Es kann auch in Estrich oder Beton eingegossen werden,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vorausgesetzt dass eine Verstärkung/Armierung angebracht wird.</w:t>
      </w:r>
    </w:p>
    <w:p w:rsidR="0006411E" w:rsidRP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 xml:space="preserve">Die glatt verarbeitete Innenwand hat </w:t>
      </w:r>
      <w:r w:rsidRPr="0006411E">
        <w:rPr>
          <w:rFonts w:ascii="Arial" w:hAnsi="Arial" w:cs="Arial"/>
          <w:caps w:val="0"/>
          <w:lang w:val="de-DE"/>
        </w:rPr>
        <w:t>antistatische</w:t>
      </w:r>
      <w:r w:rsidRPr="0006411E">
        <w:rPr>
          <w:rFonts w:ascii="Arial" w:hAnsi="Arial" w:cs="Arial"/>
          <w:b w:val="0"/>
          <w:caps w:val="0"/>
          <w:lang w:val="de-DE"/>
        </w:rPr>
        <w:t xml:space="preserve"> Eigenschaften, die die Ansammlung</w:t>
      </w:r>
    </w:p>
    <w:p w:rsidR="0006411E" w:rsidRDefault="0006411E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von Staub und die Entstehung von Bakterienherden verhindern</w:t>
      </w:r>
      <w:r>
        <w:rPr>
          <w:rFonts w:ascii="Arial" w:hAnsi="Arial" w:cs="Arial"/>
          <w:b w:val="0"/>
          <w:caps w:val="0"/>
          <w:lang w:val="de-DE"/>
        </w:rPr>
        <w:t>.</w:t>
      </w:r>
    </w:p>
    <w:p w:rsidR="0006411E" w:rsidRDefault="0006411E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06411E" w:rsidRPr="0006411E" w:rsidRDefault="0006411E" w:rsidP="0006411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proofErr w:type="spellStart"/>
      <w:r w:rsidRPr="0006411E">
        <w:rPr>
          <w:rFonts w:ascii="Arial" w:hAnsi="Arial" w:cs="Arial"/>
          <w:b w:val="0"/>
          <w:caps w:val="0"/>
          <w:lang w:val="de-DE"/>
        </w:rPr>
        <w:t>Einwandig</w:t>
      </w:r>
      <w:proofErr w:type="spellEnd"/>
    </w:p>
    <w:p w:rsidR="0006411E" w:rsidRPr="0006411E" w:rsidRDefault="0006411E" w:rsidP="0006411E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Gewellte Ummantelung</w:t>
      </w:r>
    </w:p>
    <w:p w:rsidR="0006411E" w:rsidRDefault="0006411E" w:rsidP="0006411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Hergestellt aus Polyethylen</w:t>
      </w:r>
    </w:p>
    <w:p w:rsidR="0006411E" w:rsidRPr="0006411E" w:rsidRDefault="0006411E" w:rsidP="0006411E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HDPE RAL 9002</w:t>
      </w:r>
    </w:p>
    <w:p w:rsidR="0006411E" w:rsidRPr="0006411E" w:rsidRDefault="0006411E" w:rsidP="0006411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Antistatisch</w:t>
      </w:r>
    </w:p>
    <w:p w:rsidR="0006411E" w:rsidRPr="0006411E" w:rsidRDefault="0006411E" w:rsidP="0006411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06411E">
        <w:rPr>
          <w:rFonts w:ascii="Arial" w:hAnsi="Arial" w:cs="Arial"/>
          <w:caps w:val="0"/>
          <w:lang w:val="de-DE"/>
        </w:rPr>
        <w:t>Luftdichtheitsklasse D</w:t>
      </w:r>
    </w:p>
    <w:p w:rsidR="0006411E" w:rsidRPr="0006411E" w:rsidRDefault="0006411E" w:rsidP="0006411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(bei Verwendung von Klebeband)</w:t>
      </w:r>
    </w:p>
    <w:p w:rsidR="0006411E" w:rsidRDefault="0006411E" w:rsidP="0006411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06411E">
        <w:rPr>
          <w:rFonts w:ascii="Arial" w:hAnsi="Arial" w:cs="Arial"/>
          <w:b w:val="0"/>
          <w:caps w:val="0"/>
          <w:lang w:val="de-DE"/>
        </w:rPr>
        <w:t>Glatt verarbeitete Innenwand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B31903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  <w:r>
        <w:rPr>
          <w:noProof/>
        </w:rPr>
        <w:drawing>
          <wp:inline distT="0" distB="0" distL="0" distR="0" wp14:anchorId="5580D582" wp14:editId="7FB5FC1F">
            <wp:extent cx="5760720" cy="323024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411E" w:rsidRPr="00A61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2B" w:rsidRDefault="00CC00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CC002B">
      <w:t>®</w:t>
    </w:r>
    <w:bookmarkStart w:id="0" w:name="_GoBack"/>
    <w:bookmarkEnd w:id="0"/>
    <w:r>
      <w:t xml:space="preserve"> </w:t>
    </w:r>
    <w:r w:rsidR="0006411E">
      <w:t xml:space="preserve">Flexibles </w:t>
    </w:r>
    <w:r w:rsidR="0006411E" w:rsidRPr="0006411E">
      <w:rPr>
        <w:lang w:val="de-DE"/>
      </w:rPr>
      <w:t>Verbindungsstück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2B" w:rsidRDefault="00CC00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2B" w:rsidRDefault="00CC00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2B" w:rsidRDefault="00CC00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2B" w:rsidRDefault="00CC00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731FB"/>
    <w:rsid w:val="0058335F"/>
    <w:rsid w:val="00624346"/>
    <w:rsid w:val="00655FDF"/>
    <w:rsid w:val="00664812"/>
    <w:rsid w:val="0069479B"/>
    <w:rsid w:val="0092458E"/>
    <w:rsid w:val="00933BC9"/>
    <w:rsid w:val="00A6105B"/>
    <w:rsid w:val="00AC12B7"/>
    <w:rsid w:val="00B31903"/>
    <w:rsid w:val="00C47936"/>
    <w:rsid w:val="00CC002B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F9B1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2018-02-28T07:14:00Z</dcterms:created>
  <dcterms:modified xsi:type="dcterms:W3CDTF">2018-03-08T14:27:00Z</dcterms:modified>
</cp:coreProperties>
</file>